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Ginástica Acrobática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>
              <w:t>exercitação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FD434E">
              <w:t>2 e 3 de</w:t>
            </w:r>
            <w:r>
              <w:t xml:space="preserve"> 6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</w:t>
            </w:r>
            <w:r>
              <w:rPr>
                <w:b/>
              </w:rPr>
              <w:t>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48 e 49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FD434E">
              <w:t>20</w:t>
            </w:r>
            <w:r>
              <w:t>/01/2015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FD434E">
              <w:t>11.30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colchões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FD434E">
              <w:rPr>
                <w:b/>
              </w:rPr>
              <w:t>E</w:t>
            </w:r>
            <w:r>
              <w:rPr>
                <w:b/>
              </w:rPr>
              <w:t>xercitação de esquemas/imagens de Ginástica acrobática a pares</w:t>
            </w:r>
          </w:p>
        </w:tc>
      </w:tr>
      <w:tr w:rsidR="00E02A4E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FD434E">
              <w:rPr>
                <w:b/>
              </w:rPr>
              <w:t>esquemas de pares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Respeito; Cooperação;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E02A4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Ativação Geral mobilizando todas as </w:t>
            </w:r>
            <w:r>
              <w:rPr>
                <w:rFonts w:cs="Arial"/>
                <w:sz w:val="16"/>
                <w:szCs w:val="16"/>
              </w:rPr>
              <w:t>estruturas articulares e musculares que serão solicitadas durante a aula.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Alunos distribuídos por colunas. Trabalho realizado por vagas. Corrida continua; Rotação dos braços para a </w:t>
            </w:r>
            <w:r>
              <w:rPr>
                <w:rFonts w:cs="Arial"/>
                <w:sz w:val="16"/>
                <w:szCs w:val="16"/>
              </w:rPr>
              <w:t>frente/trás e alternados. Corrida com elevação dos joelhos; Corrida lateral; Deslocamentos defensivos para a frente/trás.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Pr="00FD434E" w:rsidRDefault="007354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E02A4E" w:rsidRDefault="00E02A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E02A4E" w:rsidRPr="00FD434E" w:rsidRDefault="00735445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 xml:space="preserve">Grande </w:t>
            </w:r>
            <w:r w:rsidRPr="00FD434E">
              <w:rPr>
                <w:rFonts w:ascii="Arial" w:hAnsi="Arial" w:cs="Arial"/>
                <w:sz w:val="14"/>
                <w:szCs w:val="18"/>
              </w:rPr>
              <w:t>Amplitudes;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421666</wp:posOffset>
                  </wp:positionH>
                  <wp:positionV relativeFrom="paragraph">
                    <wp:posOffset>1687122</wp:posOffset>
                  </wp:positionV>
                  <wp:extent cx="779041" cy="518757"/>
                  <wp:effectExtent l="0" t="0" r="2009" b="0"/>
                  <wp:wrapTopAndBottom/>
                  <wp:docPr id="1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462238</wp:posOffset>
                  </wp:positionH>
                  <wp:positionV relativeFrom="paragraph">
                    <wp:posOffset>132844</wp:posOffset>
                  </wp:positionV>
                  <wp:extent cx="779041" cy="518757"/>
                  <wp:effectExtent l="0" t="0" r="2009" b="0"/>
                  <wp:wrapTopAndBottom/>
                  <wp:docPr id="2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2A4E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Realização de imagens/figuras de ginástica acrobática</w:t>
            </w: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iniciam a criação de uma sequência.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divididos em grupos de 3 elementos</w:t>
            </w:r>
            <w:proofErr w:type="gramStart"/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“montam” imagens/figuras de ginástica acrobática</w:t>
            </w:r>
          </w:p>
          <w:p w:rsidR="00FD434E" w:rsidRDefault="00FD434E">
            <w:pPr>
              <w:pStyle w:val="Standard"/>
              <w:rPr>
                <w:sz w:val="16"/>
                <w:szCs w:val="16"/>
              </w:rPr>
            </w:pPr>
          </w:p>
          <w:p w:rsidR="00FD434E" w:rsidRDefault="00FD434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divididos em 2 grupos iniciam a criação de uma sequência.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Pr="00FD434E" w:rsidRDefault="00735445">
            <w:pPr>
              <w:pStyle w:val="Standard"/>
              <w:rPr>
                <w:sz w:val="14"/>
                <w:szCs w:val="18"/>
              </w:rPr>
            </w:pPr>
            <w:r w:rsidRPr="00FD434E">
              <w:rPr>
                <w:sz w:val="14"/>
                <w:szCs w:val="18"/>
              </w:rPr>
              <w:t>-Não quero brincadeira.</w:t>
            </w:r>
          </w:p>
          <w:p w:rsidR="00E02A4E" w:rsidRDefault="00735445">
            <w:pPr>
              <w:pStyle w:val="Standard"/>
              <w:rPr>
                <w:sz w:val="14"/>
                <w:szCs w:val="18"/>
              </w:rPr>
            </w:pPr>
            <w:r w:rsidRPr="00FD434E">
              <w:rPr>
                <w:sz w:val="14"/>
                <w:szCs w:val="18"/>
              </w:rPr>
              <w:t>-Olhem a segurança</w:t>
            </w:r>
          </w:p>
          <w:p w:rsidR="00FD434E" w:rsidRDefault="00FD434E">
            <w:pPr>
              <w:pStyle w:val="Standard"/>
              <w:rPr>
                <w:sz w:val="14"/>
                <w:szCs w:val="18"/>
              </w:rPr>
            </w:pPr>
          </w:p>
          <w:p w:rsidR="00FD434E" w:rsidRDefault="00FD434E">
            <w:pPr>
              <w:pStyle w:val="Standard"/>
              <w:rPr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Todos os tem de participar.</w:t>
            </w:r>
            <w:bookmarkStart w:id="0" w:name="_GoBack"/>
            <w:bookmarkEnd w:id="0"/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</w:pPr>
          </w:p>
        </w:tc>
      </w:tr>
      <w:tr w:rsidR="00E02A4E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45" w:rsidRDefault="00735445">
      <w:pPr>
        <w:spacing w:after="0" w:line="240" w:lineRule="auto"/>
      </w:pPr>
      <w:r>
        <w:separator/>
      </w:r>
    </w:p>
  </w:endnote>
  <w:endnote w:type="continuationSeparator" w:id="0">
    <w:p w:rsidR="00735445" w:rsidRDefault="0073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45" w:rsidRDefault="007354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35445" w:rsidRDefault="0073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02A4E"/>
    <w:rsid w:val="00735445"/>
    <w:rsid w:val="00E02A4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2015-01-20T10:45:00Z</dcterms:created>
  <dcterms:modified xsi:type="dcterms:W3CDTF">2015-01-20T10:45:00Z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